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32E1" w14:textId="77777777" w:rsidR="00256F66" w:rsidRDefault="00256F66" w:rsidP="00256F66">
      <w:pPr>
        <w:pStyle w:val="Normalwebb"/>
        <w:shd w:val="clear" w:color="auto" w:fill="FFFFFF"/>
        <w:spacing w:before="0" w:beforeAutospacing="0" w:after="0" w:afterAutospacing="0"/>
        <w:rPr>
          <w:rFonts w:ascii="inherit" w:hAnsi="inherit" w:cs="Calibri"/>
          <w:b/>
          <w:bCs/>
          <w:color w:val="222222"/>
          <w:sz w:val="28"/>
          <w:szCs w:val="28"/>
          <w:bdr w:val="none" w:sz="0" w:space="0" w:color="auto" w:frame="1"/>
        </w:rPr>
      </w:pPr>
      <w:bookmarkStart w:id="0" w:name="_GoBack"/>
      <w:bookmarkEnd w:id="0"/>
      <w:r>
        <w:rPr>
          <w:rFonts w:ascii="inherit" w:hAnsi="inherit" w:cs="Calibri"/>
          <w:b/>
          <w:bCs/>
          <w:color w:val="222222"/>
          <w:sz w:val="28"/>
          <w:szCs w:val="28"/>
          <w:bdr w:val="none" w:sz="0" w:space="0" w:color="auto" w:frame="1"/>
        </w:rPr>
        <w:t>NSPH Stockholms län ska under verksamhetsåret undersöka möjligheterna för att genom IOP - alternativt genom deltagande i upphandlingar- få till stånd strukturerat samarbete med huvud-</w:t>
      </w:r>
    </w:p>
    <w:p w14:paraId="27FFA639" w14:textId="77777777" w:rsidR="00256F66" w:rsidRDefault="00256F66" w:rsidP="00256F66">
      <w:pPr>
        <w:pStyle w:val="Normalweb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222222"/>
          <w:sz w:val="28"/>
          <w:szCs w:val="28"/>
          <w:bdr w:val="none" w:sz="0" w:space="0" w:color="auto" w:frame="1"/>
        </w:rPr>
        <w:t>män i Stockholms län. </w:t>
      </w:r>
    </w:p>
    <w:p w14:paraId="1598B34C" w14:textId="77777777" w:rsidR="00256F66" w:rsidRDefault="00256F66" w:rsidP="00256F66">
      <w:pPr>
        <w:pStyle w:val="Normalwebb"/>
        <w:shd w:val="clear" w:color="auto" w:fill="FFFFFF"/>
        <w:spacing w:before="0" w:beforeAutospacing="0" w:after="0" w:afterAutospacing="0"/>
        <w:rPr>
          <w:rFonts w:ascii="inherit" w:hAnsi="inherit" w:cs="Calibri"/>
          <w:color w:val="222222"/>
          <w:sz w:val="28"/>
          <w:szCs w:val="28"/>
          <w:bdr w:val="none" w:sz="0" w:space="0" w:color="auto" w:frame="1"/>
        </w:rPr>
      </w:pPr>
    </w:p>
    <w:p w14:paraId="1E23353E" w14:textId="270254E5" w:rsidR="00256F66" w:rsidRDefault="00256F66" w:rsidP="00256F66">
      <w:pPr>
        <w:pStyle w:val="Normalwebb"/>
        <w:shd w:val="clear" w:color="auto" w:fill="FFFFFF"/>
        <w:spacing w:before="0" w:beforeAutospacing="0" w:after="0" w:afterAutospacing="0"/>
        <w:rPr>
          <w:rFonts w:ascii="Calibri" w:hAnsi="Calibri" w:cs="Calibri"/>
          <w:color w:val="323130"/>
          <w:sz w:val="22"/>
          <w:szCs w:val="22"/>
        </w:rPr>
      </w:pPr>
      <w:r>
        <w:rPr>
          <w:rFonts w:ascii="inherit" w:hAnsi="inherit" w:cs="Calibri"/>
          <w:color w:val="222222"/>
          <w:sz w:val="28"/>
          <w:szCs w:val="28"/>
          <w:bdr w:val="none" w:sz="0" w:space="0" w:color="auto" w:frame="1"/>
        </w:rPr>
        <w:t>En statlig utredning har tagit fram en definition och vägledning för idéburet offentligt partnerskap (IOP).  Det är ett samarbete mellan offentliga respektive idéburna aktörer som syftar till att uppnå ett gemensamt allmännyttigt mål. Idéburna aktörer som uppfyller vissa krav ska kunna registrera sig som idéburna aktörer i offentligt finansierad välfärdsverksamhet. Utredningen förslår också ändringar i LOU (upphandlingslagstiftningen) och LOV (Lagen om valfrihetssystem). Upphandlande myndigheter ska i vissa fall ha möjlighet att reservera deltagande för idéburna aktörer. Verksamheten måste vara budgetmässigt effektiv och bidra till att förverkliga den sociala målsättningen med tjänsten.</w:t>
      </w:r>
    </w:p>
    <w:p w14:paraId="47BE3BB4" w14:textId="77777777" w:rsidR="00256F66" w:rsidRDefault="00256F66" w:rsidP="00256F66">
      <w:pPr>
        <w:pStyle w:val="Normalwebb"/>
        <w:shd w:val="clear" w:color="auto" w:fill="FFFFFF"/>
        <w:spacing w:before="0" w:beforeAutospacing="0" w:after="0" w:afterAutospacing="0"/>
        <w:rPr>
          <w:rFonts w:ascii="inherit" w:hAnsi="inherit" w:cs="Calibri"/>
          <w:color w:val="222222"/>
          <w:sz w:val="28"/>
          <w:szCs w:val="28"/>
          <w:bdr w:val="none" w:sz="0" w:space="0" w:color="auto" w:frame="1"/>
        </w:rPr>
      </w:pPr>
      <w:r>
        <w:rPr>
          <w:rFonts w:ascii="inherit" w:hAnsi="inherit" w:cs="Calibri"/>
          <w:color w:val="222222"/>
          <w:sz w:val="28"/>
          <w:szCs w:val="28"/>
          <w:bdr w:val="none" w:sz="0" w:space="0" w:color="auto" w:frame="1"/>
        </w:rPr>
        <w:t>Utredningens förslag – som beräknas träda i kraft under 2021 – kommer att öka samhällets möjligheter att fullt ut dra nytta av den kompetens, det förtroende och de andra resurser som finns hos idéburna aktörer. </w:t>
      </w:r>
    </w:p>
    <w:p w14:paraId="68053A5C" w14:textId="77777777" w:rsidR="00256F66" w:rsidRDefault="00256F66" w:rsidP="00256F66">
      <w:pPr>
        <w:pStyle w:val="Normalwebb"/>
        <w:shd w:val="clear" w:color="auto" w:fill="FFFFFF"/>
        <w:spacing w:before="0" w:beforeAutospacing="0" w:after="0" w:afterAutospacing="0"/>
        <w:rPr>
          <w:rFonts w:ascii="Calibri" w:hAnsi="Calibri" w:cs="Calibri"/>
          <w:color w:val="323130"/>
          <w:sz w:val="22"/>
          <w:szCs w:val="22"/>
        </w:rPr>
      </w:pPr>
    </w:p>
    <w:p w14:paraId="2B9CD0B0" w14:textId="77777777" w:rsidR="00256F66" w:rsidRDefault="00256F66" w:rsidP="00256F66">
      <w:pPr>
        <w:pStyle w:val="Normalwebb"/>
        <w:shd w:val="clear" w:color="auto" w:fill="FFFFFF"/>
        <w:spacing w:before="0" w:beforeAutospacing="0" w:after="0" w:afterAutospacing="0"/>
        <w:rPr>
          <w:rFonts w:ascii="Calibri" w:hAnsi="Calibri" w:cs="Calibri"/>
          <w:color w:val="323130"/>
          <w:sz w:val="22"/>
          <w:szCs w:val="22"/>
        </w:rPr>
      </w:pPr>
      <w:r>
        <w:rPr>
          <w:rFonts w:ascii="inherit" w:hAnsi="inherit" w:cs="Calibri"/>
          <w:color w:val="222222"/>
          <w:sz w:val="28"/>
          <w:szCs w:val="28"/>
          <w:bdr w:val="none" w:sz="0" w:space="0" w:color="auto" w:frame="1"/>
        </w:rPr>
        <w:t>Hälsningar Kjell Broström</w:t>
      </w:r>
    </w:p>
    <w:p w14:paraId="39FEADAE" w14:textId="77777777" w:rsidR="00EC7C17" w:rsidRDefault="00EC7C17"/>
    <w:sectPr w:rsidR="00EC7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66"/>
    <w:rsid w:val="00256F66"/>
    <w:rsid w:val="009B3B8F"/>
    <w:rsid w:val="00D2302A"/>
    <w:rsid w:val="00EC7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81F"/>
  <w15:chartTrackingRefBased/>
  <w15:docId w15:val="{04AF57B0-9BE6-4B33-8D19-1B495E8F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56F6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963</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Broström</dc:creator>
  <cp:keywords/>
  <dc:description/>
  <cp:lastModifiedBy>Ananke</cp:lastModifiedBy>
  <cp:revision>2</cp:revision>
  <dcterms:created xsi:type="dcterms:W3CDTF">2020-04-02T16:50:00Z</dcterms:created>
  <dcterms:modified xsi:type="dcterms:W3CDTF">2020-04-02T16:50:00Z</dcterms:modified>
</cp:coreProperties>
</file>